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6"/>
        <w:gridCol w:w="813"/>
        <w:gridCol w:w="5761"/>
        <w:gridCol w:w="5762"/>
        <w:gridCol w:w="851"/>
      </w:tblGrid>
      <w:tr w:rsidR="00CD5626" w:rsidRPr="006925C7" w14:paraId="29B54270" w14:textId="77777777" w:rsidTr="00FB10DB">
        <w:tc>
          <w:tcPr>
            <w:tcW w:w="197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14:paraId="51519C50" w14:textId="77777777" w:rsidR="00755377" w:rsidRPr="006925C7" w:rsidRDefault="00755377" w:rsidP="00A166B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bookmarkStart w:id="0" w:name="_GoBack"/>
            <w:bookmarkEnd w:id="0"/>
            <w:r>
              <w:rPr>
                <w:b/>
                <w:caps/>
                <w:color w:val="FFFFFF"/>
                <w:sz w:val="18"/>
                <w:lang w:bidi="x-none"/>
              </w:rPr>
              <w:t xml:space="preserve"> </w:t>
            </w:r>
            <w:r w:rsidRPr="006925C7">
              <w:rPr>
                <w:b/>
                <w:caps/>
                <w:color w:val="FFFFFF"/>
                <w:sz w:val="18"/>
                <w:lang w:bidi="x-none"/>
              </w:rPr>
              <w:t>Kenmerk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14:paraId="42E67ACF" w14:textId="77777777" w:rsidR="00755377" w:rsidRPr="006925C7" w:rsidRDefault="00755377" w:rsidP="00A166B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 w:rsidRPr="006925C7">
              <w:rPr>
                <w:b/>
                <w:caps/>
                <w:color w:val="FFFFFF"/>
                <w:sz w:val="18"/>
                <w:lang w:bidi="x-none"/>
              </w:rPr>
              <w:t>-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14:paraId="1F02378F" w14:textId="77777777" w:rsidR="00755377" w:rsidRPr="006925C7" w:rsidRDefault="002B121C" w:rsidP="00A166B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lang w:bidi="x-none"/>
              </w:rPr>
              <w:t>Assistent dierverzorger</w:t>
            </w:r>
            <w:r w:rsidR="00755377">
              <w:rPr>
                <w:b/>
                <w:caps/>
                <w:color w:val="FFFFFF"/>
                <w:sz w:val="18"/>
                <w:lang w:bidi="x-none"/>
              </w:rPr>
              <w:t xml:space="preserve"> </w:t>
            </w:r>
            <w:r w:rsidR="00755377" w:rsidRPr="006925C7">
              <w:rPr>
                <w:b/>
                <w:caps/>
                <w:color w:val="FFFFFF"/>
                <w:sz w:val="18"/>
                <w:lang w:bidi="x-none"/>
              </w:rPr>
              <w:t>I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14:paraId="331A330E" w14:textId="77777777" w:rsidR="00755377" w:rsidRPr="006925C7" w:rsidRDefault="002B121C" w:rsidP="00A166B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lang w:bidi="x-none"/>
              </w:rPr>
              <w:t>assistent dierverzorger</w:t>
            </w:r>
            <w:r w:rsidR="00755377" w:rsidRPr="006925C7">
              <w:rPr>
                <w:b/>
                <w:caps/>
                <w:color w:val="FFFFFF"/>
                <w:sz w:val="18"/>
                <w:lang w:bidi="x-none"/>
              </w:rPr>
              <w:t xml:space="preserve"> 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14:paraId="0F256C37" w14:textId="77777777" w:rsidR="00755377" w:rsidRPr="006925C7" w:rsidRDefault="00755377" w:rsidP="00A166B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lang w:bidi="x-none"/>
              </w:rPr>
            </w:pPr>
            <w:r w:rsidRPr="006925C7">
              <w:rPr>
                <w:b/>
                <w:caps/>
                <w:color w:val="FFFFFF"/>
                <w:sz w:val="18"/>
                <w:lang w:bidi="x-none"/>
              </w:rPr>
              <w:t>+</w:t>
            </w:r>
          </w:p>
        </w:tc>
      </w:tr>
      <w:tr w:rsidR="00CD5626" w:rsidRPr="004C3EC4" w14:paraId="71E3B52B" w14:textId="77777777" w:rsidTr="00FB10DB">
        <w:trPr>
          <w:trHeight w:val="1079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14:paraId="29C28EF7" w14:textId="77777777" w:rsidR="00755377" w:rsidRPr="00521AEC" w:rsidRDefault="00755377" w:rsidP="00A166B6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521AEC">
              <w:rPr>
                <w:b/>
                <w:i/>
                <w:color w:val="B80526"/>
                <w:sz w:val="16"/>
                <w:lang w:bidi="x-none"/>
              </w:rPr>
              <w:t>Aard van de werkzaamheden</w:t>
            </w:r>
          </w:p>
        </w:tc>
        <w:tc>
          <w:tcPr>
            <w:tcW w:w="81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7F37020" w14:textId="77777777" w:rsidR="00755377" w:rsidRPr="00700090" w:rsidRDefault="002B121C" w:rsidP="00A166B6">
            <w:pPr>
              <w:spacing w:line="240" w:lineRule="auto"/>
              <w:ind w:left="57" w:right="113"/>
              <w:jc w:val="center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Niet van toepassing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1213FA9" w14:textId="77777777" w:rsidR="00755377" w:rsidRPr="00700090" w:rsidRDefault="00755377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</w:r>
            <w:r w:rsidR="003F0B83" w:rsidRPr="00700090">
              <w:rPr>
                <w:color w:val="auto"/>
                <w:sz w:val="16"/>
                <w:lang w:bidi="x-none"/>
              </w:rPr>
              <w:t xml:space="preserve">Reiniging verblijfsruimten, faciliteiten en randvoorwaarden (focus </w:t>
            </w:r>
            <w:r w:rsidR="00700090">
              <w:rPr>
                <w:color w:val="auto"/>
                <w:sz w:val="16"/>
                <w:lang w:bidi="x-none"/>
              </w:rPr>
              <w:t>ligt op schoonmaken).</w:t>
            </w:r>
          </w:p>
          <w:p w14:paraId="33940D8A" w14:textId="77777777" w:rsidR="003F0B83" w:rsidRPr="00700090" w:rsidRDefault="003F0B83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="00A76CC9" w:rsidRPr="00700090">
              <w:rPr>
                <w:color w:val="auto"/>
                <w:sz w:val="16"/>
                <w:lang w:bidi="x-none"/>
              </w:rPr>
              <w:tab/>
              <w:t>Assistentie dierverplaatsing (focus ligt op intern transporteren (“omhokken</w:t>
            </w:r>
            <w:r w:rsidR="00700090">
              <w:rPr>
                <w:color w:val="auto"/>
                <w:sz w:val="16"/>
                <w:lang w:bidi="x-none"/>
              </w:rPr>
              <w:t>”) van dieren volgens opdracht).</w:t>
            </w:r>
          </w:p>
          <w:p w14:paraId="51D82420" w14:textId="77777777" w:rsidR="00A76CC9" w:rsidRPr="00700090" w:rsidRDefault="00A76CC9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>Hand- en spandiensten (focus ligt op uitvoeren van ondersteunende handelingen)</w:t>
            </w:r>
            <w:r w:rsidR="00CD5626" w:rsidRPr="00700090">
              <w:rPr>
                <w:color w:val="auto"/>
                <w:sz w:val="16"/>
                <w:lang w:bidi="x-none"/>
              </w:rPr>
              <w:t>.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EEB3EB" w14:textId="77777777" w:rsidR="00755377" w:rsidRPr="00700090" w:rsidRDefault="00755377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</w:r>
            <w:r w:rsidR="003F0B83" w:rsidRPr="00700090">
              <w:rPr>
                <w:color w:val="auto"/>
                <w:sz w:val="16"/>
                <w:lang w:bidi="x-none"/>
              </w:rPr>
              <w:t xml:space="preserve">Verzorging verblijfsruimten, faciliteiten en randvoorwaarden (focus ligt op </w:t>
            </w:r>
            <w:r w:rsidR="00360F59" w:rsidRPr="00700090">
              <w:rPr>
                <w:color w:val="auto"/>
                <w:sz w:val="16"/>
                <w:lang w:bidi="x-none"/>
              </w:rPr>
              <w:t xml:space="preserve">schone, </w:t>
            </w:r>
            <w:r w:rsidR="003F0B83" w:rsidRPr="00700090">
              <w:rPr>
                <w:color w:val="auto"/>
                <w:sz w:val="16"/>
                <w:lang w:bidi="x-none"/>
              </w:rPr>
              <w:t>nette, ordelijke verblijfsruimten</w:t>
            </w:r>
            <w:r w:rsidR="00BD4F99" w:rsidRPr="00700090">
              <w:rPr>
                <w:color w:val="auto"/>
                <w:sz w:val="16"/>
                <w:lang w:bidi="x-none"/>
              </w:rPr>
              <w:t xml:space="preserve"> en bestrijding plaagdieren</w:t>
            </w:r>
            <w:r w:rsidR="00700090">
              <w:rPr>
                <w:color w:val="auto"/>
                <w:sz w:val="16"/>
                <w:lang w:bidi="x-none"/>
              </w:rPr>
              <w:t>).</w:t>
            </w:r>
          </w:p>
          <w:p w14:paraId="3F792579" w14:textId="77777777" w:rsidR="00A76CC9" w:rsidRPr="00700090" w:rsidRDefault="00A76CC9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>Assistentie dierverzorging (focus ligt op het assisteren va</w:t>
            </w:r>
            <w:r w:rsidR="00700090">
              <w:rPr>
                <w:color w:val="auto"/>
                <w:sz w:val="16"/>
                <w:lang w:bidi="x-none"/>
              </w:rPr>
              <w:t>n collega’s bij dierverzorging).</w:t>
            </w:r>
          </w:p>
          <w:p w14:paraId="259F6A66" w14:textId="77777777" w:rsidR="00A76CC9" w:rsidRPr="00700090" w:rsidRDefault="00A76CC9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 xml:space="preserve">Reparatie en ondersteuning (focus ligt op uitvoeren van ondersteunende handelingen </w:t>
            </w:r>
            <w:r w:rsidRPr="00700090">
              <w:rPr>
                <w:color w:val="auto"/>
                <w:sz w:val="16"/>
                <w:u w:val="dotted"/>
                <w:lang w:bidi="x-none"/>
              </w:rPr>
              <w:t>én</w:t>
            </w:r>
            <w:r w:rsidRPr="00700090">
              <w:rPr>
                <w:color w:val="auto"/>
                <w:sz w:val="16"/>
                <w:lang w:bidi="x-none"/>
              </w:rPr>
              <w:t xml:space="preserve"> </w:t>
            </w:r>
            <w:r w:rsidR="00CD5626" w:rsidRPr="00700090">
              <w:rPr>
                <w:color w:val="auto"/>
                <w:sz w:val="16"/>
                <w:lang w:bidi="x-none"/>
              </w:rPr>
              <w:t>verrichten van kleine reparaties aan verblijfsruimten).</w:t>
            </w:r>
          </w:p>
          <w:p w14:paraId="6FC1A3EB" w14:textId="77777777" w:rsidR="00B44CAB" w:rsidRPr="00700090" w:rsidRDefault="00B44CAB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 xml:space="preserve">Functiehouder rijdt indien nodig op een </w:t>
            </w:r>
            <w:r w:rsidRPr="001B168D">
              <w:rPr>
                <w:color w:val="auto"/>
                <w:sz w:val="16"/>
                <w:lang w:bidi="x-none"/>
              </w:rPr>
              <w:t>tractor</w:t>
            </w:r>
            <w:r w:rsidRPr="00700090">
              <w:rPr>
                <w:color w:val="auto"/>
                <w:sz w:val="16"/>
                <w:lang w:bidi="x-none"/>
              </w:rPr>
              <w:t>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14:paraId="72BA588B" w14:textId="77777777" w:rsidR="00755377" w:rsidRPr="00700090" w:rsidRDefault="00755377" w:rsidP="002B121C">
            <w:pPr>
              <w:spacing w:line="240" w:lineRule="auto"/>
              <w:ind w:left="397" w:right="113" w:hanging="284"/>
              <w:jc w:val="center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 xml:space="preserve">Zie functieomschrijving en NOK-bijlage </w:t>
            </w:r>
            <w:r w:rsidR="002B121C" w:rsidRPr="00700090">
              <w:rPr>
                <w:color w:val="auto"/>
                <w:sz w:val="16"/>
                <w:lang w:bidi="x-none"/>
              </w:rPr>
              <w:t>dierverzorger</w:t>
            </w:r>
          </w:p>
        </w:tc>
      </w:tr>
      <w:tr w:rsidR="00CD5626" w:rsidRPr="004C3EC4" w14:paraId="13B95C9C" w14:textId="77777777" w:rsidTr="00FB10DB">
        <w:tc>
          <w:tcPr>
            <w:tcW w:w="1976" w:type="dxa"/>
            <w:shd w:val="clear" w:color="auto" w:fill="auto"/>
          </w:tcPr>
          <w:p w14:paraId="47AA2962" w14:textId="77777777" w:rsidR="00755377" w:rsidRPr="00521AEC" w:rsidRDefault="00755377" w:rsidP="00A166B6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521AEC">
              <w:rPr>
                <w:b/>
                <w:i/>
                <w:color w:val="B80526"/>
                <w:sz w:val="16"/>
                <w:lang w:bidi="x-none"/>
              </w:rPr>
              <w:t>Vrijheidsgraden</w:t>
            </w:r>
          </w:p>
        </w:tc>
        <w:tc>
          <w:tcPr>
            <w:tcW w:w="813" w:type="dxa"/>
            <w:vMerge/>
          </w:tcPr>
          <w:p w14:paraId="66026AB1" w14:textId="77777777" w:rsidR="00755377" w:rsidRPr="00700090" w:rsidRDefault="00755377" w:rsidP="00A166B6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</w:p>
        </w:tc>
        <w:tc>
          <w:tcPr>
            <w:tcW w:w="5761" w:type="dxa"/>
            <w:tcMar>
              <w:top w:w="57" w:type="dxa"/>
              <w:bottom w:w="57" w:type="dxa"/>
            </w:tcMar>
          </w:tcPr>
          <w:p w14:paraId="05C3FD31" w14:textId="0AC42C0F" w:rsidR="00755377" w:rsidRPr="00700090" w:rsidRDefault="00755377" w:rsidP="003A4068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</w:r>
            <w:r w:rsidR="005F662A" w:rsidRPr="00700090">
              <w:rPr>
                <w:color w:val="auto"/>
                <w:sz w:val="16"/>
                <w:lang w:bidi="x-none"/>
              </w:rPr>
              <w:t>De werkzaamheden kennen overwegend een kort cyclisch (dagelijks tot wekelijks) repeterend (terugkerend) patroon</w:t>
            </w:r>
            <w:r w:rsidR="00700090">
              <w:rPr>
                <w:color w:val="auto"/>
                <w:sz w:val="16"/>
                <w:lang w:bidi="x-none"/>
              </w:rPr>
              <w:t>.</w:t>
            </w:r>
          </w:p>
          <w:p w14:paraId="4AD50210" w14:textId="77777777" w:rsidR="00DE1460" w:rsidRPr="00700090" w:rsidRDefault="00DE1460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>Procedures, method</w:t>
            </w:r>
            <w:r w:rsidR="00FF1E79" w:rsidRPr="00700090">
              <w:rPr>
                <w:color w:val="auto"/>
                <w:sz w:val="16"/>
                <w:lang w:bidi="x-none"/>
              </w:rPr>
              <w:t xml:space="preserve">en, planning, volgorde en </w:t>
            </w:r>
            <w:r w:rsidR="006E3EF3" w:rsidRPr="00700090">
              <w:rPr>
                <w:color w:val="auto"/>
                <w:sz w:val="16"/>
                <w:lang w:bidi="x-none"/>
              </w:rPr>
              <w:t>specifieke instructies</w:t>
            </w:r>
            <w:r w:rsidR="00700090">
              <w:rPr>
                <w:color w:val="auto"/>
                <w:sz w:val="16"/>
                <w:lang w:bidi="x-none"/>
              </w:rPr>
              <w:t xml:space="preserve"> zijn leidend.</w:t>
            </w:r>
          </w:p>
          <w:p w14:paraId="68BD01AB" w14:textId="77777777" w:rsidR="004C4C68" w:rsidRPr="00700090" w:rsidRDefault="004C4C68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</w:p>
          <w:p w14:paraId="35F5DF81" w14:textId="77777777" w:rsidR="004C4C68" w:rsidRPr="00700090" w:rsidRDefault="004C4C68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</w:p>
          <w:p w14:paraId="348C1E4C" w14:textId="77777777" w:rsidR="00DE1460" w:rsidRPr="00700090" w:rsidRDefault="00DE1460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>Coll</w:t>
            </w:r>
            <w:r w:rsidR="00360F59" w:rsidRPr="00700090">
              <w:rPr>
                <w:color w:val="auto"/>
                <w:sz w:val="16"/>
                <w:lang w:bidi="x-none"/>
              </w:rPr>
              <w:t>ega/leidinggevende is te</w:t>
            </w:r>
            <w:r w:rsidRPr="00700090">
              <w:rPr>
                <w:color w:val="auto"/>
                <w:sz w:val="16"/>
                <w:lang w:bidi="x-none"/>
              </w:rPr>
              <w:t xml:space="preserve"> allen tijde fysiek aanwezig om op terug te vallen.</w:t>
            </w:r>
          </w:p>
        </w:tc>
        <w:tc>
          <w:tcPr>
            <w:tcW w:w="5762" w:type="dxa"/>
            <w:shd w:val="clear" w:color="auto" w:fill="auto"/>
            <w:tcMar>
              <w:top w:w="57" w:type="dxa"/>
              <w:bottom w:w="57" w:type="dxa"/>
            </w:tcMar>
          </w:tcPr>
          <w:p w14:paraId="7E73198E" w14:textId="77777777" w:rsidR="00DE1460" w:rsidRPr="00700090" w:rsidRDefault="00755377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</w:r>
            <w:r w:rsidR="005F662A" w:rsidRPr="00700090">
              <w:rPr>
                <w:color w:val="auto"/>
                <w:sz w:val="16"/>
                <w:lang w:bidi="x-none"/>
              </w:rPr>
              <w:t>Idem I</w:t>
            </w:r>
            <w:r w:rsidR="00700090">
              <w:rPr>
                <w:color w:val="auto"/>
                <w:sz w:val="16"/>
                <w:lang w:bidi="x-none"/>
              </w:rPr>
              <w:t>.</w:t>
            </w:r>
          </w:p>
          <w:p w14:paraId="20A85586" w14:textId="77777777" w:rsidR="00DE1460" w:rsidRPr="00700090" w:rsidRDefault="00DE1460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</w:p>
          <w:p w14:paraId="2A9429D3" w14:textId="77777777" w:rsidR="004C4C68" w:rsidRPr="00700090" w:rsidRDefault="00DE1460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 xml:space="preserve">Procedures, methoden en </w:t>
            </w:r>
            <w:r w:rsidR="006E3EF3" w:rsidRPr="00700090">
              <w:rPr>
                <w:color w:val="auto"/>
                <w:sz w:val="16"/>
                <w:lang w:bidi="x-none"/>
              </w:rPr>
              <w:t>specifieke instructies</w:t>
            </w:r>
            <w:r w:rsidRPr="00700090">
              <w:rPr>
                <w:color w:val="auto"/>
                <w:sz w:val="16"/>
                <w:lang w:bidi="x-none"/>
              </w:rPr>
              <w:t xml:space="preserve"> zijn leidend. Er is enige vrijheid in het organiseren van het ei</w:t>
            </w:r>
            <w:r w:rsidR="004C4C68" w:rsidRPr="00700090">
              <w:rPr>
                <w:color w:val="auto"/>
                <w:sz w:val="16"/>
                <w:lang w:bidi="x-none"/>
              </w:rPr>
              <w:t>gen werk (volgorde, prioriteit). Functiehouder moet situaties constateren die een aanpassing van de reguliere werkvolgorde of normale tijdsbesteding vragen.</w:t>
            </w:r>
          </w:p>
          <w:p w14:paraId="11154BD0" w14:textId="77777777" w:rsidR="00755377" w:rsidRPr="00700090" w:rsidRDefault="004C4C68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-</w:t>
            </w:r>
            <w:r w:rsidRPr="00700090">
              <w:rPr>
                <w:color w:val="auto"/>
                <w:sz w:val="16"/>
                <w:lang w:bidi="x-none"/>
              </w:rPr>
              <w:tab/>
              <w:t>Collega/leidinggevende is consulteerbaar, operationele werkzaamheden worden afgestemd met op locatie aanwezige personen (collega’s/</w:t>
            </w:r>
            <w:r w:rsidR="00700090">
              <w:rPr>
                <w:color w:val="auto"/>
                <w:sz w:val="16"/>
                <w:lang w:bidi="x-none"/>
              </w:rPr>
              <w:t xml:space="preserve"> </w:t>
            </w:r>
            <w:r w:rsidRPr="00700090">
              <w:rPr>
                <w:color w:val="auto"/>
                <w:sz w:val="16"/>
                <w:lang w:bidi="x-none"/>
              </w:rPr>
              <w:t>leidinggevende e.d.).</w:t>
            </w:r>
          </w:p>
        </w:tc>
        <w:tc>
          <w:tcPr>
            <w:tcW w:w="851" w:type="dxa"/>
            <w:vMerge/>
            <w:tcMar>
              <w:top w:w="28" w:type="dxa"/>
              <w:bottom w:w="28" w:type="dxa"/>
            </w:tcMar>
          </w:tcPr>
          <w:p w14:paraId="790A1AF7" w14:textId="77777777" w:rsidR="00755377" w:rsidRPr="004C3EC4" w:rsidRDefault="00755377" w:rsidP="00A166B6">
            <w:pPr>
              <w:spacing w:line="240" w:lineRule="auto"/>
              <w:rPr>
                <w:i/>
                <w:sz w:val="16"/>
                <w:lang w:bidi="x-none"/>
              </w:rPr>
            </w:pPr>
          </w:p>
        </w:tc>
      </w:tr>
      <w:tr w:rsidR="00CD5626" w:rsidRPr="004C3EC4" w14:paraId="48ED4B49" w14:textId="77777777" w:rsidTr="00FB10DB">
        <w:tc>
          <w:tcPr>
            <w:tcW w:w="1976" w:type="dxa"/>
          </w:tcPr>
          <w:p w14:paraId="49228F48" w14:textId="77777777" w:rsidR="00755377" w:rsidRPr="00521AEC" w:rsidRDefault="00755377" w:rsidP="00755377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521AEC">
              <w:rPr>
                <w:b/>
                <w:i/>
                <w:color w:val="B80526"/>
                <w:sz w:val="16"/>
                <w:lang w:bidi="x-none"/>
              </w:rPr>
              <w:t>Functiebenamingen (</w:t>
            </w:r>
            <w:r>
              <w:rPr>
                <w:b/>
                <w:i/>
                <w:color w:val="B80526"/>
                <w:sz w:val="16"/>
                <w:lang w:bidi="x-none"/>
              </w:rPr>
              <w:t>oud</w:t>
            </w:r>
            <w:r w:rsidRPr="00521AEC">
              <w:rPr>
                <w:b/>
                <w:i/>
                <w:color w:val="B80526"/>
                <w:sz w:val="16"/>
                <w:lang w:bidi="x-none"/>
              </w:rPr>
              <w:t>)</w:t>
            </w:r>
          </w:p>
        </w:tc>
        <w:tc>
          <w:tcPr>
            <w:tcW w:w="813" w:type="dxa"/>
            <w:vMerge/>
          </w:tcPr>
          <w:p w14:paraId="4DDFA95A" w14:textId="77777777" w:rsidR="00755377" w:rsidRPr="00700090" w:rsidRDefault="00755377" w:rsidP="00A166B6">
            <w:pPr>
              <w:spacing w:line="240" w:lineRule="auto"/>
              <w:ind w:left="176" w:hanging="176"/>
              <w:rPr>
                <w:i/>
                <w:color w:val="auto"/>
                <w:sz w:val="16"/>
                <w:lang w:bidi="x-none"/>
              </w:rPr>
            </w:pPr>
          </w:p>
        </w:tc>
        <w:tc>
          <w:tcPr>
            <w:tcW w:w="5761" w:type="dxa"/>
            <w:tcMar>
              <w:top w:w="57" w:type="dxa"/>
              <w:bottom w:w="57" w:type="dxa"/>
            </w:tcMar>
          </w:tcPr>
          <w:p w14:paraId="1870C6A0" w14:textId="77777777" w:rsidR="00755377" w:rsidRPr="00700090" w:rsidRDefault="002B121C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04.01 Algemeen medewerker</w:t>
            </w:r>
            <w:r w:rsidR="00700090">
              <w:rPr>
                <w:color w:val="auto"/>
                <w:sz w:val="16"/>
                <w:lang w:bidi="x-none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57" w:type="dxa"/>
              <w:bottom w:w="57" w:type="dxa"/>
            </w:tcMar>
          </w:tcPr>
          <w:p w14:paraId="3980B54D" w14:textId="19DFE498" w:rsidR="00755377" w:rsidRPr="00700090" w:rsidRDefault="002B121C" w:rsidP="00700090">
            <w:pPr>
              <w:spacing w:line="240" w:lineRule="auto"/>
              <w:ind w:left="284" w:hanging="284"/>
              <w:rPr>
                <w:color w:val="auto"/>
                <w:sz w:val="16"/>
                <w:lang w:bidi="x-none"/>
              </w:rPr>
            </w:pPr>
            <w:r w:rsidRPr="00700090">
              <w:rPr>
                <w:color w:val="auto"/>
                <w:sz w:val="16"/>
                <w:lang w:bidi="x-none"/>
              </w:rPr>
              <w:t>04.06 Assistent dier</w:t>
            </w:r>
            <w:r w:rsidR="0088047A">
              <w:rPr>
                <w:color w:val="auto"/>
                <w:sz w:val="16"/>
                <w:lang w:bidi="x-none"/>
              </w:rPr>
              <w:t>en</w:t>
            </w:r>
            <w:r w:rsidRPr="00700090">
              <w:rPr>
                <w:color w:val="auto"/>
                <w:sz w:val="16"/>
                <w:lang w:bidi="x-none"/>
              </w:rPr>
              <w:t>verzorger</w:t>
            </w:r>
            <w:r w:rsidR="00700090">
              <w:rPr>
                <w:color w:val="auto"/>
                <w:sz w:val="16"/>
                <w:lang w:bidi="x-none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9B82843" w14:textId="77777777" w:rsidR="00755377" w:rsidRPr="004C3EC4" w:rsidRDefault="00755377" w:rsidP="00A166B6">
            <w:pPr>
              <w:spacing w:line="240" w:lineRule="auto"/>
              <w:rPr>
                <w:sz w:val="16"/>
                <w:lang w:bidi="x-none"/>
              </w:rPr>
            </w:pPr>
          </w:p>
        </w:tc>
      </w:tr>
      <w:tr w:rsidR="00CD5626" w:rsidRPr="006925C7" w14:paraId="7E3874ED" w14:textId="77777777" w:rsidTr="00CD5626">
        <w:tc>
          <w:tcPr>
            <w:tcW w:w="1976" w:type="dxa"/>
            <w:shd w:val="clear" w:color="auto" w:fill="B80526"/>
            <w:tcMar>
              <w:top w:w="28" w:type="dxa"/>
              <w:bottom w:w="28" w:type="dxa"/>
            </w:tcMar>
          </w:tcPr>
          <w:p w14:paraId="526E0B28" w14:textId="77777777" w:rsidR="00755377" w:rsidRPr="006925C7" w:rsidRDefault="00755377" w:rsidP="00A166B6">
            <w:pPr>
              <w:spacing w:line="240" w:lineRule="auto"/>
              <w:jc w:val="center"/>
              <w:rPr>
                <w:b/>
                <w:color w:val="FFFFFF"/>
                <w:sz w:val="18"/>
                <w:lang w:bidi="x-none"/>
              </w:rPr>
            </w:pPr>
            <w:r w:rsidRPr="006925C7">
              <w:rPr>
                <w:b/>
                <w:color w:val="FFFFFF"/>
                <w:sz w:val="18"/>
                <w:lang w:bidi="x-none"/>
              </w:rPr>
              <w:t>Functiegroep</w:t>
            </w:r>
          </w:p>
        </w:tc>
        <w:tc>
          <w:tcPr>
            <w:tcW w:w="813" w:type="dxa"/>
            <w:shd w:val="clear" w:color="auto" w:fill="B80526"/>
            <w:tcMar>
              <w:top w:w="28" w:type="dxa"/>
              <w:bottom w:w="28" w:type="dxa"/>
            </w:tcMar>
          </w:tcPr>
          <w:p w14:paraId="62AEDCFD" w14:textId="77777777" w:rsidR="00755377" w:rsidRPr="006925C7" w:rsidRDefault="000E2FCD" w:rsidP="00A166B6">
            <w:pPr>
              <w:spacing w:line="240" w:lineRule="auto"/>
              <w:jc w:val="center"/>
              <w:rPr>
                <w:b/>
                <w:color w:val="FFFFFF"/>
                <w:sz w:val="18"/>
                <w:lang w:bidi="x-none"/>
              </w:rPr>
            </w:pPr>
            <w:r>
              <w:rPr>
                <w:b/>
                <w:color w:val="FFFFFF"/>
                <w:sz w:val="18"/>
                <w:lang w:bidi="x-none"/>
              </w:rPr>
              <w:t>X</w:t>
            </w:r>
          </w:p>
        </w:tc>
        <w:tc>
          <w:tcPr>
            <w:tcW w:w="5761" w:type="dxa"/>
            <w:shd w:val="clear" w:color="auto" w:fill="B80526"/>
            <w:tcMar>
              <w:top w:w="28" w:type="dxa"/>
              <w:bottom w:w="28" w:type="dxa"/>
            </w:tcMar>
          </w:tcPr>
          <w:p w14:paraId="6960BF7B" w14:textId="7C32C86A" w:rsidR="00755377" w:rsidRPr="006925C7" w:rsidRDefault="00F237CC" w:rsidP="00A166B6">
            <w:pPr>
              <w:spacing w:line="240" w:lineRule="auto"/>
              <w:jc w:val="center"/>
              <w:rPr>
                <w:b/>
                <w:color w:val="FFFFFF"/>
                <w:sz w:val="18"/>
                <w:lang w:bidi="x-none"/>
              </w:rPr>
            </w:pPr>
            <w:r>
              <w:rPr>
                <w:b/>
                <w:color w:val="FFFFFF"/>
                <w:sz w:val="18"/>
                <w:lang w:bidi="x-none"/>
              </w:rPr>
              <w:t>B</w:t>
            </w:r>
          </w:p>
        </w:tc>
        <w:tc>
          <w:tcPr>
            <w:tcW w:w="5762" w:type="dxa"/>
            <w:shd w:val="clear" w:color="auto" w:fill="B80526"/>
            <w:tcMar>
              <w:top w:w="28" w:type="dxa"/>
              <w:bottom w:w="28" w:type="dxa"/>
            </w:tcMar>
          </w:tcPr>
          <w:p w14:paraId="3F9ECF44" w14:textId="75ED4E8E" w:rsidR="00755377" w:rsidRPr="006925C7" w:rsidRDefault="00F237CC" w:rsidP="00A166B6">
            <w:pPr>
              <w:spacing w:line="240" w:lineRule="auto"/>
              <w:jc w:val="center"/>
              <w:rPr>
                <w:b/>
                <w:color w:val="FFFFFF"/>
                <w:sz w:val="18"/>
                <w:lang w:bidi="x-none"/>
              </w:rPr>
            </w:pPr>
            <w:r>
              <w:rPr>
                <w:b/>
                <w:color w:val="FFFFFF"/>
                <w:sz w:val="18"/>
                <w:lang w:bidi="x-none"/>
              </w:rPr>
              <w:t>C</w:t>
            </w:r>
          </w:p>
        </w:tc>
        <w:tc>
          <w:tcPr>
            <w:tcW w:w="851" w:type="dxa"/>
            <w:shd w:val="clear" w:color="auto" w:fill="B80526"/>
            <w:tcMar>
              <w:top w:w="28" w:type="dxa"/>
              <w:bottom w:w="28" w:type="dxa"/>
            </w:tcMar>
          </w:tcPr>
          <w:p w14:paraId="4A8227AA" w14:textId="77777777" w:rsidR="00755377" w:rsidRPr="006925C7" w:rsidRDefault="000E2FCD" w:rsidP="00A166B6">
            <w:pPr>
              <w:spacing w:line="240" w:lineRule="auto"/>
              <w:jc w:val="center"/>
              <w:rPr>
                <w:b/>
                <w:color w:val="FFFFFF"/>
                <w:sz w:val="18"/>
                <w:lang w:bidi="x-none"/>
              </w:rPr>
            </w:pPr>
            <w:r>
              <w:rPr>
                <w:b/>
                <w:color w:val="FFFFFF"/>
                <w:sz w:val="18"/>
                <w:lang w:bidi="x-none"/>
              </w:rPr>
              <w:t>X</w:t>
            </w:r>
          </w:p>
        </w:tc>
      </w:tr>
    </w:tbl>
    <w:p w14:paraId="56EAB5F0" w14:textId="77777777" w:rsidR="00700090" w:rsidRPr="00700090" w:rsidRDefault="00700090" w:rsidP="00700090">
      <w:pPr>
        <w:spacing w:line="240" w:lineRule="auto"/>
        <w:rPr>
          <w:color w:val="auto"/>
          <w:sz w:val="18"/>
          <w:lang w:bidi="x-none"/>
        </w:rPr>
      </w:pPr>
    </w:p>
    <w:p w14:paraId="21641DEC" w14:textId="77777777" w:rsidR="00700090" w:rsidRPr="00700090" w:rsidRDefault="00700090" w:rsidP="00700090">
      <w:pPr>
        <w:spacing w:line="240" w:lineRule="auto"/>
        <w:rPr>
          <w:color w:val="auto"/>
          <w:sz w:val="18"/>
          <w:lang w:bidi="x-none"/>
        </w:rPr>
      </w:pPr>
    </w:p>
    <w:p w14:paraId="18DCB8C9" w14:textId="77777777" w:rsidR="00A166B6" w:rsidRPr="00713988" w:rsidRDefault="00A166B6" w:rsidP="00A166B6">
      <w:pPr>
        <w:ind w:left="-567"/>
        <w:rPr>
          <w:i/>
          <w:sz w:val="16"/>
        </w:rPr>
      </w:pPr>
    </w:p>
    <w:sectPr w:rsidR="00A166B6" w:rsidRPr="00713988" w:rsidSect="00A166B6">
      <w:headerReference w:type="default" r:id="rId8"/>
      <w:footerReference w:type="default" r:id="rId9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502D3" w14:textId="77777777" w:rsidR="00563DAC" w:rsidRDefault="00563DAC" w:rsidP="001073D2">
      <w:pPr>
        <w:spacing w:line="240" w:lineRule="auto"/>
      </w:pPr>
      <w:r>
        <w:separator/>
      </w:r>
    </w:p>
  </w:endnote>
  <w:endnote w:type="continuationSeparator" w:id="0">
    <w:p w14:paraId="599B1676" w14:textId="77777777" w:rsidR="00563DAC" w:rsidRDefault="00563DA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57C3" w14:textId="38F7CDA9" w:rsidR="00CA09EA" w:rsidRPr="00700090" w:rsidRDefault="009D600C" w:rsidP="009D600C">
    <w:pPr>
      <w:pStyle w:val="Voettekst"/>
      <w:tabs>
        <w:tab w:val="clear" w:pos="4153"/>
        <w:tab w:val="clear" w:pos="8306"/>
        <w:tab w:val="left" w:pos="3210"/>
        <w:tab w:val="right" w:pos="15309"/>
      </w:tabs>
      <w:jc w:val="left"/>
      <w:rPr>
        <w:rStyle w:val="Paginanummer"/>
        <w:color w:val="auto"/>
        <w:sz w:val="16"/>
      </w:rPr>
    </w:pPr>
    <w:r>
      <w:rPr>
        <w:color w:val="auto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A686" w14:textId="77777777" w:rsidR="00563DAC" w:rsidRDefault="00563DAC" w:rsidP="001073D2">
      <w:pPr>
        <w:spacing w:line="240" w:lineRule="auto"/>
      </w:pPr>
      <w:r>
        <w:separator/>
      </w:r>
    </w:p>
  </w:footnote>
  <w:footnote w:type="continuationSeparator" w:id="0">
    <w:p w14:paraId="0F184163" w14:textId="77777777" w:rsidR="00563DAC" w:rsidRDefault="00563DA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75899" w14:textId="45745EF0" w:rsidR="00CA09EA" w:rsidRPr="00700090" w:rsidRDefault="00CA09EA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val="en-US" w:eastAsia="nl-NL"/>
      </w:rPr>
    </w:pPr>
    <w:r w:rsidRPr="00700090">
      <w:rPr>
        <w:color w:val="auto"/>
      </w:rPr>
      <w:t>Niveau onderscheidende kenmerken</w:t>
    </w:r>
    <w:r w:rsidRPr="00700090">
      <w:rPr>
        <w:caps/>
        <w:color w:val="auto"/>
      </w:rPr>
      <w:t xml:space="preserve"> (nok) – assistent dierverzorger</w:t>
    </w:r>
    <w:r w:rsidRPr="00700090">
      <w:rPr>
        <w:caps/>
        <w:color w:val="auto"/>
      </w:rPr>
      <w:tab/>
    </w:r>
    <w:r w:rsidRPr="00700090">
      <w:rPr>
        <w:caps/>
        <w:color w:val="auto"/>
      </w:rPr>
      <w:tab/>
    </w:r>
    <w:r w:rsidRPr="00700090">
      <w:rPr>
        <w:color w:val="auto"/>
      </w:rPr>
      <w:t xml:space="preserve">Functienummer:  </w:t>
    </w:r>
    <w:r w:rsidR="007046F4">
      <w:rPr>
        <w:color w:val="auto"/>
      </w:rPr>
      <w:t>D</w:t>
    </w:r>
    <w:r w:rsidR="00FF1E79" w:rsidRPr="00700090">
      <w:rPr>
        <w:color w:val="auto"/>
      </w:rPr>
      <w:t>H.</w:t>
    </w:r>
    <w:r w:rsidRPr="00700090">
      <w:rPr>
        <w:color w:val="auto"/>
      </w:rPr>
      <w:t>01</w:t>
    </w:r>
    <w:r w:rsidR="00E56C5A" w:rsidRPr="00700090">
      <w:rPr>
        <w:color w:val="auto"/>
      </w:rPr>
      <w:t>.I/II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5"/>
    <w:rsid w:val="00033FAD"/>
    <w:rsid w:val="00074218"/>
    <w:rsid w:val="000A552B"/>
    <w:rsid w:val="000C5A79"/>
    <w:rsid w:val="000E2FCD"/>
    <w:rsid w:val="00121575"/>
    <w:rsid w:val="001B168D"/>
    <w:rsid w:val="002B121C"/>
    <w:rsid w:val="00360F59"/>
    <w:rsid w:val="003A4068"/>
    <w:rsid w:val="003B3D65"/>
    <w:rsid w:val="003F0B83"/>
    <w:rsid w:val="00474625"/>
    <w:rsid w:val="004C4C68"/>
    <w:rsid w:val="00563DAC"/>
    <w:rsid w:val="005F662A"/>
    <w:rsid w:val="006E3EF3"/>
    <w:rsid w:val="00700090"/>
    <w:rsid w:val="00703498"/>
    <w:rsid w:val="007046F4"/>
    <w:rsid w:val="00726AC1"/>
    <w:rsid w:val="00755377"/>
    <w:rsid w:val="00765374"/>
    <w:rsid w:val="0086763A"/>
    <w:rsid w:val="0088047A"/>
    <w:rsid w:val="0096763E"/>
    <w:rsid w:val="009D600C"/>
    <w:rsid w:val="009D7919"/>
    <w:rsid w:val="00A166B6"/>
    <w:rsid w:val="00A76CC9"/>
    <w:rsid w:val="00B44CAB"/>
    <w:rsid w:val="00BD4F99"/>
    <w:rsid w:val="00CA09EA"/>
    <w:rsid w:val="00CC1D05"/>
    <w:rsid w:val="00CD3921"/>
    <w:rsid w:val="00CD5626"/>
    <w:rsid w:val="00DA79D3"/>
    <w:rsid w:val="00DE1460"/>
    <w:rsid w:val="00E1795A"/>
    <w:rsid w:val="00E56C5A"/>
    <w:rsid w:val="00F237CC"/>
    <w:rsid w:val="00F40F75"/>
    <w:rsid w:val="00FB10DB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07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b/>
    </w:rPr>
  </w:style>
  <w:style w:type="paragraph" w:styleId="Kop3">
    <w:name w:val="heading 3"/>
    <w:basedOn w:val="Normaal"/>
    <w:next w:val="Normaal"/>
    <w:qFormat/>
    <w:pPr>
      <w:keepNext/>
      <w:outlineLvl w:val="2"/>
    </w:pPr>
    <w:rPr>
      <w:b/>
      <w:i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Normaal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Normaal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Normaal"/>
    <w:pPr>
      <w:tabs>
        <w:tab w:val="left" w:pos="4253"/>
      </w:tabs>
    </w:pPr>
  </w:style>
  <w:style w:type="paragraph" w:styleId="Datum">
    <w:name w:val="Date"/>
    <w:basedOn w:val="Normaal"/>
    <w:next w:val="Normaal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Normaal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rsid w:val="004C4C6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676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76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Normaal"/>
    <w:next w:val="Normaal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Normaal"/>
    <w:next w:val="Normaal"/>
    <w:qFormat/>
    <w:pPr>
      <w:keepNext/>
      <w:outlineLvl w:val="1"/>
    </w:pPr>
    <w:rPr>
      <w:b/>
    </w:rPr>
  </w:style>
  <w:style w:type="paragraph" w:styleId="Kop3">
    <w:name w:val="heading 3"/>
    <w:basedOn w:val="Normaal"/>
    <w:next w:val="Normaal"/>
    <w:qFormat/>
    <w:pPr>
      <w:keepNext/>
      <w:outlineLvl w:val="2"/>
    </w:pPr>
    <w:rPr>
      <w:b/>
      <w:i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Normaal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Normaal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Normaal"/>
    <w:pPr>
      <w:tabs>
        <w:tab w:val="left" w:pos="4253"/>
      </w:tabs>
    </w:pPr>
  </w:style>
  <w:style w:type="paragraph" w:styleId="Datum">
    <w:name w:val="Date"/>
    <w:basedOn w:val="Normaal"/>
    <w:next w:val="Normaal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Normaal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rsid w:val="004C4C6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676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76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VZ%20Server:#MAPPEN:Sjablonen-nieuwe stijl:normal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267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1735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EVZ10</dc:creator>
  <cp:keywords/>
  <cp:lastModifiedBy>EVZ</cp:lastModifiedBy>
  <cp:revision>7</cp:revision>
  <cp:lastPrinted>2013-10-14T15:50:00Z</cp:lastPrinted>
  <dcterms:created xsi:type="dcterms:W3CDTF">2013-12-09T15:38:00Z</dcterms:created>
  <dcterms:modified xsi:type="dcterms:W3CDTF">2015-06-26T07:42:00Z</dcterms:modified>
</cp:coreProperties>
</file>